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6B" w:rsidRPr="00A07CA0" w:rsidRDefault="0081456B" w:rsidP="0081456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A0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0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предметные результаты освоения учебного предмета «Шахматы»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</w:t>
      </w:r>
      <w:proofErr w:type="gramEnd"/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названия шахматных фигур: ладья, слон, ферзь, конь, пешка, король,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правила хода и взятия каждой фигурой;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диагональ, вертикаль, горизонталь;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-сравнивать между собой предметы, явления;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-обобщать, делать несложные выводы;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проводить элементарные комбинации;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планировать нападение на фигуры противника, организовать защиту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фигур;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ориентироваться на шахматной доске, в шахматной нотации;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последовательность событий;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-выявлять закономерности и проводить аналогии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хода и взятия каждой из фигур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лёгкие и тяжёлые фигуры, ладейные, коневые, слоновые, ферзевые, королевские пешки,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взятие на проходе,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-превращение пешки.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принципы игры в дебюте;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тактические приемы;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термины: дебют, миттельшпиль, эндшпиль, темп, оппозиция, ключевые поля.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грамотно располагать шахматные фигуры в дебюте;</w:t>
      </w:r>
    </w:p>
    <w:p w:rsidR="0081456B" w:rsidRPr="00A07CA0" w:rsidRDefault="0081456B" w:rsidP="0081456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находить несложные тактические удары и проводить комбинации;</w:t>
      </w:r>
    </w:p>
    <w:p w:rsidR="0081456B" w:rsidRPr="00A07CA0" w:rsidRDefault="0081456B" w:rsidP="0081456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 разыгрывать простейшие окончания.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содержательные линии учебного курса: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начальном этапе преобладают игровой, </w:t>
      </w:r>
      <w:proofErr w:type="gramStart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репродуктивный методы. Они применяются: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знакомстве с шахматными фигурами.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изучении шахматной доски.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обучении правилам игры;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реализации материального перевеса.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proofErr w:type="gramStart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продуктивный</w:t>
      </w:r>
      <w:proofErr w:type="gramEnd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того чтобы реализовать на доске свой замысел, учащийся овладевает тактическим арсеналом шахмат, вследствие чего формируется следующий алгоритм  мышления:  анализ позиции – мотив – идея – расчёт –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дебютной теории основным методом является </w:t>
      </w:r>
      <w:proofErr w:type="gramStart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</w:t>
      </w:r>
      <w:proofErr w:type="gramEnd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эффективно изучение дебютной теории осуществляется в том случае, когда большую часть работы ребенок проделывает самостоятельно.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предусмотрены материалы для самостоятельного изучения </w:t>
      </w:r>
      <w:proofErr w:type="gramStart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(домашние задания для каждого года обучения, специально подобранная шахматная литература, картотека дебютов и др.).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более поздних этапах в обучении применяется творческий метод, для совершенствования тактического мастерства учащихся (самостоятельное составление позиций, предусматривающих определенные тактические удары, мат в определенное количество ходов и т.д.).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проблемного обучения.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:rsidR="00826DDF" w:rsidRPr="00A07CA0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B7436D4" wp14:editId="34686DEF">
            <wp:simplePos x="0" y="0"/>
            <wp:positionH relativeFrom="column">
              <wp:posOffset>-4092422</wp:posOffset>
            </wp:positionH>
            <wp:positionV relativeFrom="paragraph">
              <wp:posOffset>159007</wp:posOffset>
            </wp:positionV>
            <wp:extent cx="3270210" cy="3796496"/>
            <wp:effectExtent l="19050" t="0" r="639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70210" cy="379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DDF"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этих методов предусматривает, прежде всего, обеспечение самостоятельности детей в поисках решения самых разнообразных задач.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Начальный курс по обучению игре в шахматы максимально прост и доступен младшим школьникам. Он охватывает первый класс трех – и четырехлетней начальной школы, а также может использоваться в подготовительных к школе </w:t>
      </w: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группах детского сада, в группах кратковременного пребывания детей дошкольного возраста. Этот курс может без труда освоить каждый учитель начальной школы, даже если он совсем не знаком с шахматной игрой.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программы в том, что на первом году обучения ребенок делает первые шаги в мире шахмат. Обучающиеся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 Большое место отводится изучению "</w:t>
      </w:r>
      <w:proofErr w:type="spellStart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доматового</w:t>
      </w:r>
      <w:proofErr w:type="spellEnd"/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периода игры. </w:t>
      </w:r>
    </w:p>
    <w:p w:rsidR="00826DDF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        </w:t>
      </w:r>
    </w:p>
    <w:p w:rsidR="003E7D66" w:rsidRPr="00A07CA0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C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при изучении шахматного курса имеет специально организованная игровая деятельность детей на уроках, использование приема обыгрывания учебных заданий, создания игровых ситуаций. В программе приводится примерный перечень различных дидактических игр и заданий с небольшими пояснениями к ним, дается вариант примерного распределения программного материала, приводится перечень шахматных игр, а также шахматных дидактических игрушек, которые можно использовать в учебном процессе и сделать своими руками. Предлагается также перечень диафильмов, рекомендательный список художественной литературы, которую можно читать на занятиях, и список методической литературы для учителя.</w:t>
      </w:r>
    </w:p>
    <w:p w:rsidR="003E7D66" w:rsidRPr="00A07CA0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3E7D66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07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D66" w:rsidRPr="00A2688C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</w:t>
      </w:r>
      <w:r w:rsidR="00A2688C" w:rsidRPr="00A26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ндарно-тематическое планирование 1 класса</w:t>
      </w:r>
    </w:p>
    <w:p w:rsidR="00826DDF" w:rsidRPr="00A2688C" w:rsidRDefault="0081456B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-5886498</wp:posOffset>
            </wp:positionH>
            <wp:positionV relativeFrom="paragraph">
              <wp:posOffset>1411669</wp:posOffset>
            </wp:positionV>
            <wp:extent cx="4515686" cy="5231757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15686" cy="523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36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0474"/>
        <w:gridCol w:w="9"/>
        <w:gridCol w:w="1245"/>
        <w:gridCol w:w="21"/>
        <w:gridCol w:w="689"/>
        <w:gridCol w:w="747"/>
      </w:tblGrid>
      <w:tr w:rsidR="00DF5040" w:rsidRPr="00A2688C" w:rsidTr="0032479E">
        <w:trPr>
          <w:trHeight w:val="251"/>
        </w:trPr>
        <w:tc>
          <w:tcPr>
            <w:tcW w:w="1240" w:type="dxa"/>
            <w:vMerge w:val="restart"/>
          </w:tcPr>
          <w:p w:rsidR="00DF5040" w:rsidRPr="00A2688C" w:rsidRDefault="00DF5040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474" w:type="dxa"/>
            <w:vMerge w:val="restart"/>
            <w:tcBorders>
              <w:right w:val="single" w:sz="4" w:space="0" w:color="auto"/>
            </w:tcBorders>
          </w:tcPr>
          <w:p w:rsidR="00DF5040" w:rsidRPr="00B13B2A" w:rsidRDefault="00DF5040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040" w:rsidRPr="00A2688C" w:rsidRDefault="00631D19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F5040" w:rsidRPr="00A2688C" w:rsidRDefault="00631D19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2688C" w:rsidRPr="00A2688C" w:rsidTr="0032479E">
        <w:trPr>
          <w:trHeight w:val="292"/>
        </w:trPr>
        <w:tc>
          <w:tcPr>
            <w:tcW w:w="1240" w:type="dxa"/>
            <w:vMerge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4" w:type="dxa"/>
            <w:vMerge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A2688C" w:rsidRPr="00A2688C" w:rsidTr="0032479E">
        <w:tc>
          <w:tcPr>
            <w:tcW w:w="11723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val="en-US" w:eastAsia="ru-RU"/>
              </w:rPr>
              <w:t>I</w:t>
            </w: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. Шахматная доска.    4 ч.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знакомство с шахматным королевством. Шахматная доска.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на шахматной доске. Горизонтали и вертикали.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на шахматной доске. Диагонали.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шахматной доски.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1723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val="en-US" w:eastAsia="ru-RU"/>
              </w:rPr>
              <w:t xml:space="preserve">II. </w:t>
            </w: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Шахматные фигуры.     2 ч.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Шахматные фигуры. 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сила фигур.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1723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val="en-US" w:eastAsia="ru-RU"/>
              </w:rPr>
              <w:t>III</w:t>
            </w: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. Начальная расстановка фигур.     1 ч.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rPr>
          <w:trHeight w:val="645"/>
        </w:trPr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позиция.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1723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val="en-US" w:eastAsia="ru-RU"/>
              </w:rPr>
              <w:t>IV</w:t>
            </w: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. Ходы и взятие фигур.     17 ч.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Ладья.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Ладья.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Ладья против слона.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Ферзь.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Ферзь.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Ферзь против ладьи и слона.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против ферзя, ладьи, слона.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Пешка.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Пешка.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Пешка против ферзя, ладьи, коня, слона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32479E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rPr>
          <w:trHeight w:val="651"/>
        </w:trPr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 против других фигур.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1723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val="en-US" w:eastAsia="ru-RU"/>
              </w:rPr>
              <w:t>V</w:t>
            </w: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. Цель шахматной партии.     6 ч.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Ничья. Пат.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Рокировка.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1723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val="en-US" w:eastAsia="ru-RU"/>
              </w:rPr>
              <w:t>VI</w:t>
            </w:r>
            <w:r w:rsidRPr="00B13B2A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. Игра всеми фигурами из начального положения.     3 ч.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партия.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партия.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партия.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1723" w:type="dxa"/>
            <w:gridSpan w:val="3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</w:tr>
      <w:tr w:rsidR="00A2688C" w:rsidRPr="00A2688C" w:rsidTr="00B13B2A">
        <w:tc>
          <w:tcPr>
            <w:tcW w:w="1240" w:type="dxa"/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483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материала. 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6DDF" w:rsidRPr="00A2688C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DDF" w:rsidRPr="00A2688C" w:rsidRDefault="00826DDF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DDF" w:rsidRPr="00A2688C" w:rsidRDefault="003E7D66" w:rsidP="003E7D66">
      <w:pPr>
        <w:spacing w:after="0" w:line="240" w:lineRule="auto"/>
        <w:rPr>
          <w:rFonts w:ascii="Times New Roman" w:eastAsia="Times New Roman" w:hAnsi="Times New Roman" w:cs="Times New Roman"/>
          <w:b/>
          <w:color w:val="CC0000"/>
          <w:sz w:val="24"/>
          <w:szCs w:val="24"/>
          <w:lang w:eastAsia="ru-RU"/>
        </w:rPr>
      </w:pPr>
      <w:r w:rsidRPr="00A2688C">
        <w:rPr>
          <w:rFonts w:ascii="Times New Roman" w:eastAsia="Times New Roman" w:hAnsi="Times New Roman" w:cs="Times New Roman"/>
          <w:b/>
          <w:noProof/>
          <w:color w:val="CC0000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-12386310</wp:posOffset>
            </wp:positionH>
            <wp:positionV relativeFrom="paragraph">
              <wp:posOffset>336550</wp:posOffset>
            </wp:positionV>
            <wp:extent cx="2064385" cy="2395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DDF" w:rsidRPr="00A2688C" w:rsidRDefault="00A2688C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Календарно-тематическое планирование 2 класса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10674"/>
        <w:gridCol w:w="1075"/>
        <w:gridCol w:w="9"/>
        <w:gridCol w:w="675"/>
        <w:gridCol w:w="25"/>
        <w:gridCol w:w="728"/>
      </w:tblGrid>
      <w:tr w:rsidR="00A2688C" w:rsidRPr="00A2688C" w:rsidTr="00456CA2">
        <w:trPr>
          <w:trHeight w:val="128"/>
        </w:trPr>
        <w:tc>
          <w:tcPr>
            <w:tcW w:w="1131" w:type="dxa"/>
            <w:vMerge w:val="restart"/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674" w:type="dxa"/>
            <w:vMerge w:val="restart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84" w:type="dxa"/>
            <w:gridSpan w:val="2"/>
            <w:vMerge w:val="restart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2688C" w:rsidRPr="00A2688C" w:rsidTr="00456CA2">
        <w:trPr>
          <w:trHeight w:val="182"/>
        </w:trPr>
        <w:tc>
          <w:tcPr>
            <w:tcW w:w="1131" w:type="dxa"/>
            <w:vMerge/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4" w:type="dxa"/>
            <w:vMerge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A2688C" w:rsidRPr="00A2688C" w:rsidTr="00456CA2">
        <w:tc>
          <w:tcPr>
            <w:tcW w:w="11805" w:type="dxa"/>
            <w:gridSpan w:val="2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en-US" w:eastAsia="ru-RU"/>
              </w:rPr>
              <w:t>I</w:t>
            </w: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>. Краткая история шахмат.     5 ч.</w:t>
            </w:r>
          </w:p>
        </w:tc>
        <w:tc>
          <w:tcPr>
            <w:tcW w:w="17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история шахмат.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456CA2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шахматисты нашего времени.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Шахматные правила 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FIDE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Этика шахматной борьбы.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805" w:type="dxa"/>
            <w:gridSpan w:val="2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en-US" w:eastAsia="ru-RU"/>
              </w:rPr>
              <w:t>II</w:t>
            </w: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>. Шахматная нотация.     7 ч.</w:t>
            </w:r>
          </w:p>
        </w:tc>
        <w:tc>
          <w:tcPr>
            <w:tcW w:w="17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нотация. Обозначение горизонталей, вертикалей, полей. </w:t>
            </w:r>
          </w:p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нотация. Обозначение шахматных фигур и терминов.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нотация.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нотация.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нотация.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нотация.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нотация.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805" w:type="dxa"/>
            <w:gridSpan w:val="2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en-US" w:eastAsia="ru-RU"/>
              </w:rPr>
              <w:t>III</w:t>
            </w: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>. Ценность шахматных фигур.     7 ч.</w:t>
            </w:r>
          </w:p>
        </w:tc>
        <w:tc>
          <w:tcPr>
            <w:tcW w:w="17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шахматных фигур. Сравнительная сила фигур.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шахматных фигур. Достижение материального перевеса.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шахматных фигур. Достижение материального перевеса.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шахматных фигур. Достижение материального перевеса.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шахматных фигур. Способы защиты.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шахматных фигур. Способы защиты.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защиты. Игровая практика.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805" w:type="dxa"/>
            <w:gridSpan w:val="2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en-US" w:eastAsia="ru-RU"/>
              </w:rPr>
              <w:t>IV</w:t>
            </w: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 xml:space="preserve">. Техника </w:t>
            </w:r>
            <w:proofErr w:type="spellStart"/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 xml:space="preserve"> одинокого </w:t>
            </w:r>
            <w:proofErr w:type="gramStart"/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>короля .</w:t>
            </w:r>
            <w:proofErr w:type="gramEnd"/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 xml:space="preserve">     5 ч.</w:t>
            </w:r>
          </w:p>
        </w:tc>
        <w:tc>
          <w:tcPr>
            <w:tcW w:w="17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одинокого короля.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одинокого короля.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одинокого короля.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одинокого короля.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одинокого короля.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805" w:type="dxa"/>
            <w:gridSpan w:val="2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en-US" w:eastAsia="ru-RU"/>
              </w:rPr>
              <w:t>V</w:t>
            </w: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>. Достижение мата без жертвы материала.     5 ч.</w:t>
            </w:r>
          </w:p>
        </w:tc>
        <w:tc>
          <w:tcPr>
            <w:tcW w:w="17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мата без жертвы материала. Учебные положения на мат в два хода в эндшпиле. 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Цугцванг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AE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мата без жертвы материала. Учебные положения на мат в два хода в миттельшпиле.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мата без жертвы материала. Решение заданий на мат в два хода в миттельшпиле. 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мата без жертвы материала. Учебные положения на мат в два хода в дебюте.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мата без жертвы материала.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805" w:type="dxa"/>
            <w:gridSpan w:val="2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val="en-US" w:eastAsia="ru-RU"/>
              </w:rPr>
              <w:t>VI</w:t>
            </w:r>
            <w:r w:rsidRPr="00B13B2A"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  <w:t>. Обобщение.     5 ч.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31–32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материала. 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c>
          <w:tcPr>
            <w:tcW w:w="1131" w:type="dxa"/>
          </w:tcPr>
          <w:p w:rsidR="00A2688C" w:rsidRPr="00A2688C" w:rsidRDefault="00456CA2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456CA2">
        <w:trPr>
          <w:trHeight w:val="83"/>
        </w:trPr>
        <w:tc>
          <w:tcPr>
            <w:tcW w:w="1131" w:type="dxa"/>
          </w:tcPr>
          <w:p w:rsidR="00A2688C" w:rsidRPr="00A2688C" w:rsidRDefault="00456CA2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74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88C" w:rsidRPr="00A2688C" w:rsidRDefault="00A2688C" w:rsidP="00B13B2A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A2688C" w:rsidRPr="00A2688C" w:rsidRDefault="00A2688C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826DDF" w:rsidRPr="00A2688C" w:rsidRDefault="00A2688C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A2688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Календарно-тематическое планирование 3 класса</w:t>
      </w:r>
    </w:p>
    <w:p w:rsidR="00826DDF" w:rsidRPr="00A2688C" w:rsidRDefault="00826DDF" w:rsidP="00826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736"/>
        <w:gridCol w:w="18"/>
        <w:gridCol w:w="19"/>
        <w:gridCol w:w="709"/>
        <w:gridCol w:w="851"/>
        <w:gridCol w:w="850"/>
      </w:tblGrid>
      <w:tr w:rsidR="00A2688C" w:rsidRPr="00A2688C" w:rsidTr="00D83CCB">
        <w:trPr>
          <w:trHeight w:val="445"/>
        </w:trPr>
        <w:tc>
          <w:tcPr>
            <w:tcW w:w="1134" w:type="dxa"/>
            <w:vMerge w:val="restart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773" w:type="dxa"/>
            <w:gridSpan w:val="3"/>
            <w:vMerge w:val="restart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2688C" w:rsidRPr="00A2688C" w:rsidTr="00D83CCB">
        <w:trPr>
          <w:trHeight w:val="83"/>
        </w:trPr>
        <w:tc>
          <w:tcPr>
            <w:tcW w:w="1134" w:type="dxa"/>
            <w:vMerge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vMerge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A2688C" w:rsidRPr="00A2688C" w:rsidTr="00A2688C">
        <w:tc>
          <w:tcPr>
            <w:tcW w:w="12616" w:type="dxa"/>
            <w:gridSpan w:val="5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I</w:t>
            </w: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. Шахматная партия. Три стадии шахматной партии.     5 ч.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456CA2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стадии шахматной партии.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888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II</w:t>
            </w: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. Основы дебюта.     13 ч.</w:t>
            </w:r>
          </w:p>
        </w:tc>
        <w:tc>
          <w:tcPr>
            <w:tcW w:w="15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Двух- и трехходовые партии.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Невыгодность раннего ввода в игру ладей и ферзя.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 мат» с первых ходов партии. 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Детский 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мат. Защита. 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Другие угрозы быстрого мата в дебюте. Защита.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rPr>
          <w:trHeight w:val="595"/>
        </w:trPr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«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Повторюшка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-хрюшка»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игры в дебюте. Принцип 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быстрейшего развития фигур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Темпы. Гамбиты.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Наказания за несоблюдение принципа быстрейшего развития фигур.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Борьба за центр.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Рокировка. Правила рокировки.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Гармоничное пешечное расположение.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Связка в дебюте.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Классификация дебютов.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изучать дебюты.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3467" w:type="dxa"/>
            <w:gridSpan w:val="6"/>
            <w:tcBorders>
              <w:right w:val="single" w:sz="4" w:space="0" w:color="auto"/>
            </w:tcBorders>
          </w:tcPr>
          <w:p w:rsidR="00A2688C" w:rsidRPr="00B13B2A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III</w:t>
            </w: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. Основы миттельшпиля.     5 ч.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Самые общие рекомендации о том, как играть в миттельшпиле.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Понятие о тактике. Связка в миттельшпиле.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Двойной удар.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456CA2" w:rsidP="0045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2688C"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Открытое нападение. Открытый (вскрытый) шах. Двойной шах.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87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en-US" w:eastAsia="ru-RU"/>
              </w:rPr>
              <w:t>IV</w:t>
            </w:r>
            <w:r w:rsidRPr="00A2688C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>. Основы эндшпиля.     9 ч.</w:t>
            </w:r>
          </w:p>
        </w:tc>
        <w:tc>
          <w:tcPr>
            <w:tcW w:w="1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Ладья против ладьи. Ферзь против ферзя. Ферзь против ладьи (простые случаи).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07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Ферзь против слона. Ферзь против коня. Ладья против слона (простые случаи). Ладья против коня (простые случаи).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эндшпиля.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Матование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слонами (простые случаи).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Матование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слоном и конем (простые случаи).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эндшпиля. Пешка против короля. Когда пешка проходит в ферзи без помощи своего короля. Правило 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«квадрата»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Пешка против короля. Белая пешка на седьмой и шестой горизонтали. Король помогает своей пешке.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Оппозиция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Удивительные ничейные положения.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Самые общие рекомендации о том, как играть в эндшпиле.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87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программного материала.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82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программного материала.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63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82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88C" w:rsidRPr="00A2688C" w:rsidRDefault="00A2688C">
      <w:pPr>
        <w:rPr>
          <w:sz w:val="24"/>
          <w:szCs w:val="24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13B2A" w:rsidRDefault="00B13B2A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A2688C" w:rsidRPr="00A2688C" w:rsidRDefault="00A2688C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A2688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Календарно-тематическое планирование 4 класса</w:t>
      </w:r>
    </w:p>
    <w:p w:rsidR="00A2688C" w:rsidRPr="00A2688C" w:rsidRDefault="00A2688C" w:rsidP="00A2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736"/>
        <w:gridCol w:w="18"/>
        <w:gridCol w:w="19"/>
        <w:gridCol w:w="709"/>
        <w:gridCol w:w="851"/>
        <w:gridCol w:w="850"/>
      </w:tblGrid>
      <w:tr w:rsidR="00A2688C" w:rsidRPr="00A2688C" w:rsidTr="00D83CCB">
        <w:trPr>
          <w:trHeight w:val="445"/>
        </w:trPr>
        <w:tc>
          <w:tcPr>
            <w:tcW w:w="1134" w:type="dxa"/>
            <w:vMerge w:val="restart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773" w:type="dxa"/>
            <w:gridSpan w:val="3"/>
            <w:vMerge w:val="restart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2688C" w:rsidRPr="00A2688C" w:rsidTr="00D83CCB">
        <w:trPr>
          <w:trHeight w:val="83"/>
        </w:trPr>
        <w:tc>
          <w:tcPr>
            <w:tcW w:w="1134" w:type="dxa"/>
            <w:vMerge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vMerge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A2688C" w:rsidRPr="00A2688C" w:rsidTr="00A2688C">
        <w:tc>
          <w:tcPr>
            <w:tcW w:w="12616" w:type="dxa"/>
            <w:gridSpan w:val="5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I</w:t>
            </w: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. Шахматная партия. Три стадии шахматной партии.     5 ч.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стадии шахматной партии.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888" w:type="dxa"/>
            <w:gridSpan w:val="3"/>
            <w:tcBorders>
              <w:right w:val="single" w:sz="4" w:space="0" w:color="auto"/>
            </w:tcBorders>
          </w:tcPr>
          <w:p w:rsidR="00A2688C" w:rsidRPr="00B13B2A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II</w:t>
            </w:r>
            <w:r w:rsidRPr="00B13B2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. Основы дебюта.     13 ч.</w:t>
            </w:r>
          </w:p>
        </w:tc>
        <w:tc>
          <w:tcPr>
            <w:tcW w:w="15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Двух- и трехходовые партии.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Невыгодность раннего ввода в игру ладей и ферзя.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 мат» с первых ходов партии. 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Детский 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мат. Защита. 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Другие угрозы быстрого мата в дебюте. Защита.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rPr>
          <w:trHeight w:val="595"/>
        </w:trPr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«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Повторюшка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-хрюшка»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игры в дебюте. Принцип 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быстрейшего развития фигур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Темпы. Гамбиты.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Наказания за несоблюдение принципа быстрейшего развития фигур.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Борьба за центр.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Рокировка. Правила рокировки.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игры в дебюте. Гармоничное пешечное расположение.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Связка в дебюте.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дебюта. Классификация дебютов.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54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изучать дебюты.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3467" w:type="dxa"/>
            <w:gridSpan w:val="6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en-US" w:eastAsia="ru-RU"/>
              </w:rPr>
              <w:t>III</w:t>
            </w:r>
            <w:r w:rsidRPr="00A2688C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>. Основы миттельшпиля.     5 ч.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Самые общие рекомендации о том, как играть в миттельшпиле.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Понятие о тактике. Связка в миттельшпиле.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Двойной удар.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22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 Открытое нападение. Открытый (вскрытый) шах. Двойной шах.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87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val="en-US" w:eastAsia="ru-RU"/>
              </w:rPr>
              <w:t>IV</w:t>
            </w:r>
            <w:r w:rsidRPr="00A2688C"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  <w:t>. Основы эндшпиля.     9 ч.</w:t>
            </w:r>
          </w:p>
        </w:tc>
        <w:tc>
          <w:tcPr>
            <w:tcW w:w="1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Ладья против ладьи. Ферзь против ферзя. Ферзь против ладьи (простые случаи).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Ферзь против слона. Ферзь против коня. Ладья против слона (простые случаи). Ладья против коня (простые случаи).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эндшпиля.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Матование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слонами (простые случаи). </w:t>
            </w:r>
            <w:proofErr w:type="spellStart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Матование</w:t>
            </w:r>
            <w:proofErr w:type="spellEnd"/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слоном и конем (простые случаи).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эндшпиля. Пешка против короля. Когда пешка проходит в ферзи без помощи своего короля. Правило 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«квадрата»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Пешка против короля. Белая пешка на седьмой и шестой горизонтали. Король помогает своей пешке.</w:t>
            </w:r>
            <w:r w:rsidRPr="00A26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Оппозиция</w:t>
            </w: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Удивительные ничейные положения.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эндшпиля. Самые общие рекомендации о том, как играть в эндшпиле.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870" w:type="dxa"/>
            <w:gridSpan w:val="2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программного материала.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88C" w:rsidRPr="00A2688C" w:rsidTr="00A2688C">
        <w:tc>
          <w:tcPr>
            <w:tcW w:w="1134" w:type="dxa"/>
          </w:tcPr>
          <w:p w:rsidR="00A2688C" w:rsidRPr="00A2688C" w:rsidRDefault="00A2688C" w:rsidP="00A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736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программного материала.</w:t>
            </w:r>
          </w:p>
        </w:tc>
        <w:tc>
          <w:tcPr>
            <w:tcW w:w="746" w:type="dxa"/>
            <w:gridSpan w:val="3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688C" w:rsidRPr="00A2688C" w:rsidRDefault="00A2688C" w:rsidP="00A2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88C" w:rsidRPr="00A2688C" w:rsidRDefault="00A2688C" w:rsidP="00A2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A2688C" w:rsidRDefault="00A2688C"/>
    <w:sectPr w:rsidR="00A2688C" w:rsidSect="003E7D6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6C" w:rsidRDefault="00842F6C" w:rsidP="00826DDF">
      <w:pPr>
        <w:spacing w:after="0" w:line="240" w:lineRule="auto"/>
      </w:pPr>
      <w:r>
        <w:separator/>
      </w:r>
    </w:p>
  </w:endnote>
  <w:endnote w:type="continuationSeparator" w:id="0">
    <w:p w:rsidR="00842F6C" w:rsidRDefault="00842F6C" w:rsidP="0082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6C" w:rsidRDefault="00842F6C" w:rsidP="00826DDF">
      <w:pPr>
        <w:spacing w:after="0" w:line="240" w:lineRule="auto"/>
      </w:pPr>
      <w:r>
        <w:separator/>
      </w:r>
    </w:p>
  </w:footnote>
  <w:footnote w:type="continuationSeparator" w:id="0">
    <w:p w:rsidR="00842F6C" w:rsidRDefault="00842F6C" w:rsidP="0082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4F3"/>
    <w:multiLevelType w:val="hybridMultilevel"/>
    <w:tmpl w:val="F80A3DCE"/>
    <w:lvl w:ilvl="0" w:tplc="32FC4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911A23"/>
    <w:multiLevelType w:val="hybridMultilevel"/>
    <w:tmpl w:val="0972A5EC"/>
    <w:lvl w:ilvl="0" w:tplc="E2D25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84806"/>
      </w:rPr>
    </w:lvl>
    <w:lvl w:ilvl="1" w:tplc="041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0A837456"/>
    <w:multiLevelType w:val="hybridMultilevel"/>
    <w:tmpl w:val="B5C4C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F06AE3"/>
    <w:multiLevelType w:val="hybridMultilevel"/>
    <w:tmpl w:val="8936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760C4"/>
    <w:multiLevelType w:val="hybridMultilevel"/>
    <w:tmpl w:val="17B03706"/>
    <w:lvl w:ilvl="0" w:tplc="51B4D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9083A"/>
    <w:multiLevelType w:val="hybridMultilevel"/>
    <w:tmpl w:val="EF52E520"/>
    <w:lvl w:ilvl="0" w:tplc="DDB64E5E">
      <w:numFmt w:val="bullet"/>
      <w:lvlText w:val="·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B65E5E"/>
    <w:multiLevelType w:val="hybridMultilevel"/>
    <w:tmpl w:val="EC7009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A45B8F"/>
    <w:multiLevelType w:val="hybridMultilevel"/>
    <w:tmpl w:val="C9BCD5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A0A48E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3B7858"/>
    <w:multiLevelType w:val="hybridMultilevel"/>
    <w:tmpl w:val="BFB06126"/>
    <w:lvl w:ilvl="0" w:tplc="623E408E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9010D6"/>
    <w:multiLevelType w:val="hybridMultilevel"/>
    <w:tmpl w:val="1340C3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AF5C66"/>
    <w:multiLevelType w:val="hybridMultilevel"/>
    <w:tmpl w:val="7BCCC3D4"/>
    <w:lvl w:ilvl="0" w:tplc="5D18D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CE6DB3"/>
    <w:multiLevelType w:val="hybridMultilevel"/>
    <w:tmpl w:val="3A8EDB52"/>
    <w:lvl w:ilvl="0" w:tplc="A16C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61D31"/>
    <w:multiLevelType w:val="hybridMultilevel"/>
    <w:tmpl w:val="25A6CB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460879"/>
    <w:multiLevelType w:val="hybridMultilevel"/>
    <w:tmpl w:val="63E01F00"/>
    <w:lvl w:ilvl="0" w:tplc="DDB64E5E">
      <w:numFmt w:val="bullet"/>
      <w:lvlText w:val="·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E5785"/>
    <w:multiLevelType w:val="hybridMultilevel"/>
    <w:tmpl w:val="9CF85D16"/>
    <w:lvl w:ilvl="0" w:tplc="8812A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5">
    <w:nsid w:val="57A062C6"/>
    <w:multiLevelType w:val="hybridMultilevel"/>
    <w:tmpl w:val="59B04AD6"/>
    <w:lvl w:ilvl="0" w:tplc="562C4C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8480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C07B5C"/>
    <w:multiLevelType w:val="hybridMultilevel"/>
    <w:tmpl w:val="7594138E"/>
    <w:lvl w:ilvl="0" w:tplc="DDB64E5E">
      <w:numFmt w:val="bullet"/>
      <w:lvlText w:val="·"/>
      <w:lvlJc w:val="left"/>
      <w:pPr>
        <w:ind w:left="48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6169D"/>
    <w:multiLevelType w:val="hybridMultilevel"/>
    <w:tmpl w:val="68F8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A4220"/>
    <w:multiLevelType w:val="hybridMultilevel"/>
    <w:tmpl w:val="B1CEC786"/>
    <w:lvl w:ilvl="0" w:tplc="5ACA93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70C45935"/>
    <w:multiLevelType w:val="hybridMultilevel"/>
    <w:tmpl w:val="58648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3F11C9"/>
    <w:multiLevelType w:val="hybridMultilevel"/>
    <w:tmpl w:val="51C2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83B05"/>
    <w:multiLevelType w:val="hybridMultilevel"/>
    <w:tmpl w:val="E19836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5A62748"/>
    <w:multiLevelType w:val="hybridMultilevel"/>
    <w:tmpl w:val="A860D4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61F5D32"/>
    <w:multiLevelType w:val="hybridMultilevel"/>
    <w:tmpl w:val="588A1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FC42B6"/>
    <w:multiLevelType w:val="hybridMultilevel"/>
    <w:tmpl w:val="97503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13E58"/>
    <w:multiLevelType w:val="hybridMultilevel"/>
    <w:tmpl w:val="F98C067C"/>
    <w:lvl w:ilvl="0" w:tplc="F998CC5E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6">
    <w:nsid w:val="7A736D1B"/>
    <w:multiLevelType w:val="hybridMultilevel"/>
    <w:tmpl w:val="BEE8827A"/>
    <w:lvl w:ilvl="0" w:tplc="25881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230341"/>
    <w:multiLevelType w:val="hybridMultilevel"/>
    <w:tmpl w:val="9AE01A66"/>
    <w:lvl w:ilvl="0" w:tplc="496ADF9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D472A"/>
    <w:multiLevelType w:val="hybridMultilevel"/>
    <w:tmpl w:val="08202B66"/>
    <w:lvl w:ilvl="0" w:tplc="4C586098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5"/>
  </w:num>
  <w:num w:numId="5">
    <w:abstractNumId w:val="13"/>
  </w:num>
  <w:num w:numId="6">
    <w:abstractNumId w:val="16"/>
  </w:num>
  <w:num w:numId="7">
    <w:abstractNumId w:val="7"/>
  </w:num>
  <w:num w:numId="8">
    <w:abstractNumId w:val="3"/>
  </w:num>
  <w:num w:numId="9">
    <w:abstractNumId w:val="19"/>
  </w:num>
  <w:num w:numId="10">
    <w:abstractNumId w:val="1"/>
  </w:num>
  <w:num w:numId="11">
    <w:abstractNumId w:val="15"/>
  </w:num>
  <w:num w:numId="12">
    <w:abstractNumId w:val="23"/>
  </w:num>
  <w:num w:numId="13">
    <w:abstractNumId w:val="22"/>
  </w:num>
  <w:num w:numId="14">
    <w:abstractNumId w:val="21"/>
  </w:num>
  <w:num w:numId="15">
    <w:abstractNumId w:val="6"/>
  </w:num>
  <w:num w:numId="16">
    <w:abstractNumId w:val="28"/>
  </w:num>
  <w:num w:numId="17">
    <w:abstractNumId w:val="8"/>
  </w:num>
  <w:num w:numId="18">
    <w:abstractNumId w:val="10"/>
  </w:num>
  <w:num w:numId="19">
    <w:abstractNumId w:val="14"/>
  </w:num>
  <w:num w:numId="20">
    <w:abstractNumId w:val="4"/>
  </w:num>
  <w:num w:numId="21">
    <w:abstractNumId w:val="26"/>
  </w:num>
  <w:num w:numId="22">
    <w:abstractNumId w:val="2"/>
  </w:num>
  <w:num w:numId="23">
    <w:abstractNumId w:val="0"/>
  </w:num>
  <w:num w:numId="24">
    <w:abstractNumId w:val="18"/>
  </w:num>
  <w:num w:numId="25">
    <w:abstractNumId w:val="25"/>
  </w:num>
  <w:num w:numId="26">
    <w:abstractNumId w:val="20"/>
  </w:num>
  <w:num w:numId="27">
    <w:abstractNumId w:val="11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343"/>
    <w:rsid w:val="000749FE"/>
    <w:rsid w:val="0032479E"/>
    <w:rsid w:val="0034284C"/>
    <w:rsid w:val="003E7D66"/>
    <w:rsid w:val="00456CA2"/>
    <w:rsid w:val="00555F00"/>
    <w:rsid w:val="00607343"/>
    <w:rsid w:val="00631D19"/>
    <w:rsid w:val="00641CF1"/>
    <w:rsid w:val="00675284"/>
    <w:rsid w:val="0081456B"/>
    <w:rsid w:val="00823A80"/>
    <w:rsid w:val="00826DDF"/>
    <w:rsid w:val="00842F6C"/>
    <w:rsid w:val="00861426"/>
    <w:rsid w:val="00922E01"/>
    <w:rsid w:val="009D0886"/>
    <w:rsid w:val="00A07260"/>
    <w:rsid w:val="00A07CA0"/>
    <w:rsid w:val="00A2688C"/>
    <w:rsid w:val="00AC03E3"/>
    <w:rsid w:val="00AE1269"/>
    <w:rsid w:val="00B13B2A"/>
    <w:rsid w:val="00B75B04"/>
    <w:rsid w:val="00CA05B3"/>
    <w:rsid w:val="00D23392"/>
    <w:rsid w:val="00D47981"/>
    <w:rsid w:val="00D83CCB"/>
    <w:rsid w:val="00DF5040"/>
    <w:rsid w:val="00E4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26DDF"/>
  </w:style>
  <w:style w:type="paragraph" w:styleId="a3">
    <w:name w:val="header"/>
    <w:basedOn w:val="a"/>
    <w:link w:val="a4"/>
    <w:rsid w:val="00826D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6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26D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26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82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826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826DDF"/>
    <w:rPr>
      <w:vertAlign w:val="superscript"/>
    </w:rPr>
  </w:style>
  <w:style w:type="table" w:styleId="aa">
    <w:name w:val="Table Grid"/>
    <w:basedOn w:val="a1"/>
    <w:rsid w:val="0082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basedOn w:val="a0"/>
    <w:rsid w:val="00826DDF"/>
  </w:style>
  <w:style w:type="table" w:styleId="-3">
    <w:name w:val="Table Web 3"/>
    <w:basedOn w:val="a1"/>
    <w:rsid w:val="0082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link w:val="ad"/>
    <w:rsid w:val="00826D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826DD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82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26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26DDF"/>
  </w:style>
  <w:style w:type="paragraph" w:styleId="a3">
    <w:name w:val="header"/>
    <w:basedOn w:val="a"/>
    <w:link w:val="a4"/>
    <w:rsid w:val="00826D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6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26D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26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82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826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826DDF"/>
    <w:rPr>
      <w:vertAlign w:val="superscript"/>
    </w:rPr>
  </w:style>
  <w:style w:type="table" w:styleId="aa">
    <w:name w:val="Table Grid"/>
    <w:basedOn w:val="a1"/>
    <w:rsid w:val="0082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basedOn w:val="a0"/>
    <w:rsid w:val="00826DDF"/>
  </w:style>
  <w:style w:type="table" w:styleId="-3">
    <w:name w:val="Table Web 3"/>
    <w:basedOn w:val="a1"/>
    <w:rsid w:val="0082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link w:val="ad"/>
    <w:rsid w:val="00826D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826DD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82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2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4F83-F834-494D-9C8E-F350FAF4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Лерка</cp:lastModifiedBy>
  <cp:revision>22</cp:revision>
  <cp:lastPrinted>2021-10-18T08:36:00Z</cp:lastPrinted>
  <dcterms:created xsi:type="dcterms:W3CDTF">2019-10-24T12:43:00Z</dcterms:created>
  <dcterms:modified xsi:type="dcterms:W3CDTF">2022-09-19T16:11:00Z</dcterms:modified>
</cp:coreProperties>
</file>